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DE89" w14:textId="14701270" w:rsidR="004557EC" w:rsidRPr="001B6473" w:rsidRDefault="001B6473">
      <w:pPr>
        <w:rPr>
          <w:b/>
          <w:bCs/>
        </w:rPr>
      </w:pPr>
      <w:r w:rsidRPr="001B6473">
        <w:rPr>
          <w:b/>
          <w:bCs/>
        </w:rPr>
        <w:t>Infoturbekorra muudatused aprill 2026</w:t>
      </w:r>
    </w:p>
    <w:p w14:paraId="0D3FA202" w14:textId="77777777" w:rsidR="001B6473" w:rsidRDefault="001B6473"/>
    <w:p w14:paraId="1FADC86A" w14:textId="1798ADA9" w:rsidR="001B6473" w:rsidRDefault="001B6473">
      <w:r w:rsidRPr="001B6473">
        <w:rPr>
          <w:b/>
          <w:bCs/>
        </w:rPr>
        <w:t>Infovara</w:t>
      </w:r>
      <w:r>
        <w:t xml:space="preserve"> on läbivalt muudetud varaks, kasutatud on ka „teave ja kaasnevad varad“. See on kooskõlas uuendatud standarditega. Seetõttu on uuendatud ka vara definitsiooni (p 2.5).</w:t>
      </w:r>
    </w:p>
    <w:p w14:paraId="2F9F792D" w14:textId="246250DE" w:rsidR="001B6473" w:rsidRDefault="001B6473">
      <w:r>
        <w:t>Lisatud on viide Siseministeeriumi valitsemisala infoturvapoliitikale (peatükk 1).</w:t>
      </w:r>
    </w:p>
    <w:p w14:paraId="2455C7AF" w14:textId="7FB5B546" w:rsidR="00E725FE" w:rsidRDefault="00E725FE">
      <w:r>
        <w:t>Seoses struktuurimuudatusega on struktuuriüksuse juhi nimetus asendatud valdkonnajuhiga</w:t>
      </w:r>
      <w:r w:rsidR="00EC7A17">
        <w:t>,</w:t>
      </w:r>
      <w:r w:rsidR="00EC7A17" w:rsidRPr="00EC7A17">
        <w:t xml:space="preserve"> </w:t>
      </w:r>
      <w:r w:rsidR="00EC7A17">
        <w:t>infoturbeosakonna asemel on infoturbe valdkond ning struktuuriüksuste ja osakondade asemel on üksus.</w:t>
      </w:r>
    </w:p>
    <w:p w14:paraId="25DDCDE4" w14:textId="46B83854" w:rsidR="001B6473" w:rsidRDefault="001B6473">
      <w:r>
        <w:t>3.6 Paremini sõnastatud riskijuhi vastutusalad, et muuta need selgemaks.</w:t>
      </w:r>
    </w:p>
    <w:p w14:paraId="749786B2" w14:textId="066C7DCD" w:rsidR="001B6473" w:rsidRDefault="001B6473">
      <w:r>
        <w:t>3.7 Paremini sõnastatud siseaudiitori vastutusala.</w:t>
      </w:r>
    </w:p>
    <w:p w14:paraId="68B7052E" w14:textId="41B29C7D" w:rsidR="00791A34" w:rsidRDefault="00791A34">
      <w:r>
        <w:t>3.12 Punkti täpsustatud.</w:t>
      </w:r>
    </w:p>
    <w:p w14:paraId="60606AB4" w14:textId="0D7A17A4" w:rsidR="00791A34" w:rsidRDefault="00791A34">
      <w:r>
        <w:t>Varasem sõnastus:</w:t>
      </w:r>
    </w:p>
    <w:p w14:paraId="74AF0C2B" w14:textId="77777777" w:rsidR="00791A34" w:rsidRDefault="00791A34" w:rsidP="00791A34">
      <w:r w:rsidRPr="00FB2D29">
        <w:t>Tooteomanik vastutab õigusnormidest ja lepingutest tulenevate teenusele kehtivate nõuete rakendamise eest.  Teenus- ja tarnelepingud  peavad sisaldama ka teenust või toodet mõjutavatest turvanõrkustest, andmeleketest, rünnetest ja muudest ohtudest, juhtumitest ja intsidentidest teavitamise kohustust ja korda.</w:t>
      </w:r>
    </w:p>
    <w:p w14:paraId="0149BCFC" w14:textId="77777777" w:rsidR="00791A34" w:rsidRDefault="00791A34" w:rsidP="00791A34">
      <w:pPr>
        <w:spacing w:line="259" w:lineRule="auto"/>
        <w:jc w:val="both"/>
      </w:pPr>
      <w:r>
        <w:t>Uus sõnastus:</w:t>
      </w:r>
      <w:r w:rsidRPr="00791A34">
        <w:t xml:space="preserve"> </w:t>
      </w:r>
    </w:p>
    <w:p w14:paraId="66347F1B" w14:textId="572D5604" w:rsidR="00791A34" w:rsidRPr="00A33E9D" w:rsidRDefault="00791A34" w:rsidP="00791A34">
      <w:pPr>
        <w:spacing w:line="259" w:lineRule="auto"/>
        <w:jc w:val="both"/>
      </w:pPr>
      <w:r w:rsidRPr="00A33E9D">
        <w:t xml:space="preserve">Tooteomanik vastutab õigusnormidest ja lepingutest tulenevate teenusele kehtivate nõuete </w:t>
      </w:r>
      <w:r>
        <w:t xml:space="preserve">kaardistamise ja </w:t>
      </w:r>
      <w:r w:rsidRPr="00A33E9D">
        <w:t xml:space="preserve">rakendamise eest. </w:t>
      </w:r>
      <w:r w:rsidRPr="00791A34">
        <w:rPr>
          <w:b/>
          <w:bCs/>
        </w:rPr>
        <w:t xml:space="preserve">Teenuslepingud (SLAd) ja hankelepingud </w:t>
      </w:r>
      <w:r w:rsidRPr="00B325A7">
        <w:t> </w:t>
      </w:r>
      <w:r w:rsidRPr="00A33E9D">
        <w:t>peavad sisaldama ka teenust või toodet mõjutavatest turvanõrkustest, andmeleketest, rünnetest ja muudest ohtudest, juhtumitest ja intsidentidest teavitamise kohustust.</w:t>
      </w:r>
    </w:p>
    <w:p w14:paraId="188A66E2" w14:textId="4D21B47B" w:rsidR="001B6473" w:rsidRDefault="001B6473">
      <w:r>
        <w:t>4.1 Lisatud viide politsei ja piirivalve seaduse konkreetsele paragrahvile (</w:t>
      </w:r>
      <w:r w:rsidRPr="00F13F8D">
        <w:t>§ 7</w:t>
      </w:r>
      <w:r w:rsidRPr="00F13F8D">
        <w:rPr>
          <w:vertAlign w:val="superscript"/>
        </w:rPr>
        <w:t>59</w:t>
      </w:r>
      <w:r>
        <w:t>), mis on taustakontrollide tegemise aluseks.</w:t>
      </w:r>
    </w:p>
    <w:p w14:paraId="221EB099" w14:textId="63FD246B" w:rsidR="001B6473" w:rsidRDefault="001B6473">
      <w:r>
        <w:t xml:space="preserve">5.5 ja 12.9 Lisatud viide </w:t>
      </w:r>
      <w:r w:rsidRPr="0031142E">
        <w:t>Siseministeeriumi valitsemisala</w:t>
      </w:r>
      <w:r>
        <w:t xml:space="preserve"> </w:t>
      </w:r>
      <w:r w:rsidRPr="0031142E">
        <w:t>andmevarunduse ja erakorraliste koopiate tegemise kor</w:t>
      </w:r>
      <w:r>
        <w:t>rale.</w:t>
      </w:r>
    </w:p>
    <w:p w14:paraId="4E58C745" w14:textId="48384EA8" w:rsidR="001B6473" w:rsidRDefault="001B6473">
      <w:r w:rsidRPr="001B6473">
        <w:t>12.2.</w:t>
      </w:r>
      <w:r w:rsidRPr="001B6473">
        <w:tab/>
      </w:r>
      <w:r>
        <w:t>Punkti täpsustatud</w:t>
      </w:r>
      <w:r w:rsidR="00AD5A01">
        <w:t>:</w:t>
      </w:r>
    </w:p>
    <w:p w14:paraId="2612799B" w14:textId="4428522F" w:rsidR="00AD4122" w:rsidRDefault="00AD4122">
      <w:r>
        <w:t>Varasem sõnastus:</w:t>
      </w:r>
    </w:p>
    <w:p w14:paraId="5957BC75" w14:textId="74690D87" w:rsidR="00AD4122" w:rsidRDefault="00AD4122">
      <w:r w:rsidRPr="00AD4122">
        <w:t>Struktuuriüksused peavad tuvastama oma infovarad, need nõuetekohaselt dokumenteerima, määrama nende turbeastme (turvaklassi) ja omaniku. Tooteomanik peab dokumenteerima oma teenused teenuste portfellis ja hoidma need ajakohasena. Kirjeldada tuleb muu hulgas teenuse osutamiseks vajalikud infovarad, keskkonnad, talitluspidevuse nõuded, teenused, millest sõltutakse, ja mõju teistele teenustele.</w:t>
      </w:r>
    </w:p>
    <w:p w14:paraId="195FAD1E" w14:textId="1826DDAA" w:rsidR="001B6473" w:rsidRDefault="00AD4122">
      <w:r>
        <w:lastRenderedPageBreak/>
        <w:t>Uus sõnastus:</w:t>
      </w:r>
    </w:p>
    <w:p w14:paraId="6170DBF0" w14:textId="1AB7517F" w:rsidR="00AD4122" w:rsidRDefault="00AD4122" w:rsidP="00AD4122">
      <w:pPr>
        <w:spacing w:line="259" w:lineRule="auto"/>
        <w:jc w:val="both"/>
      </w:pPr>
      <w:r w:rsidRPr="00A33E9D">
        <w:t xml:space="preserve">Struktuuriüksused peavad tuvastama oma </w:t>
      </w:r>
      <w:r w:rsidRPr="00AD4122">
        <w:rPr>
          <w:b/>
          <w:bCs/>
        </w:rPr>
        <w:t>varad (sealhulgas teenused),</w:t>
      </w:r>
      <w:r>
        <w:t xml:space="preserve"> määrama neile omaniku,</w:t>
      </w:r>
      <w:r w:rsidRPr="00A33E9D">
        <w:t xml:space="preserve"> dokumenteerima </w:t>
      </w:r>
      <w:r>
        <w:t xml:space="preserve">need </w:t>
      </w:r>
      <w:r w:rsidRPr="00A33E9D">
        <w:t>nõuetekohaselt</w:t>
      </w:r>
      <w:r>
        <w:t xml:space="preserve"> </w:t>
      </w:r>
      <w:r w:rsidRPr="00AD4122">
        <w:rPr>
          <w:b/>
          <w:bCs/>
        </w:rPr>
        <w:t>ning hoidma ajakohasena</w:t>
      </w:r>
      <w:r>
        <w:t xml:space="preserve">. </w:t>
      </w:r>
      <w:r w:rsidRPr="00AD4122">
        <w:rPr>
          <w:b/>
          <w:bCs/>
        </w:rPr>
        <w:t>Struktuuriüksus</w:t>
      </w:r>
      <w:r w:rsidRPr="00AF43AE">
        <w:t xml:space="preserve"> peab dokumenteerima oma teenused teenuste portfellis ja hoidma need ajakohasena. Kirjeldada tuleb muu hulgas teenuse osutamiseks vajalikud varad, keskkonnad, talitluspidevuse nõuded, teenused </w:t>
      </w:r>
      <w:r w:rsidRPr="00AD4122">
        <w:rPr>
          <w:b/>
          <w:bCs/>
        </w:rPr>
        <w:t>ja komponendid</w:t>
      </w:r>
      <w:r w:rsidRPr="00AF43AE">
        <w:t xml:space="preserve">, millest sõltutakse, ja mõju teistele teenustele. </w:t>
      </w:r>
    </w:p>
    <w:p w14:paraId="43D4620D" w14:textId="2E63F4AD" w:rsidR="00AD4122" w:rsidRDefault="00AD4122" w:rsidP="00AD4122">
      <w:pPr>
        <w:spacing w:line="259" w:lineRule="auto"/>
        <w:jc w:val="both"/>
      </w:pPr>
      <w:r>
        <w:t>12.3. Punkti täpsustatud:</w:t>
      </w:r>
    </w:p>
    <w:p w14:paraId="4A59829E" w14:textId="364A5BAF" w:rsidR="00AD4122" w:rsidRDefault="00AD4122" w:rsidP="00AD4122">
      <w:pPr>
        <w:spacing w:line="259" w:lineRule="auto"/>
        <w:jc w:val="both"/>
      </w:pPr>
      <w:r>
        <w:t>Varasem sõnastus:</w:t>
      </w:r>
    </w:p>
    <w:p w14:paraId="668F433E" w14:textId="7A03879F" w:rsidR="00AD4122" w:rsidRDefault="00AD4122" w:rsidP="00AD4122">
      <w:pPr>
        <w:spacing w:line="259" w:lineRule="auto"/>
        <w:jc w:val="both"/>
      </w:pPr>
      <w:r w:rsidRPr="00AD4122">
        <w:t>T</w:t>
      </w:r>
      <w:r>
        <w:t>een</w:t>
      </w:r>
      <w:r w:rsidRPr="00AD4122">
        <w:t>uses töödeldavate andmete turbeastme määrab klienti esindav peakasutaja, kes peab eelnevalt hindama andmete tähtsust ning andmete turvalisuse puudumisest tulenevaid kahjusid.</w:t>
      </w:r>
    </w:p>
    <w:p w14:paraId="2C5E3476" w14:textId="093157F6" w:rsidR="00AD4122" w:rsidRDefault="00AD4122" w:rsidP="00AD4122">
      <w:pPr>
        <w:spacing w:line="259" w:lineRule="auto"/>
        <w:jc w:val="both"/>
      </w:pPr>
      <w:r>
        <w:t>Uus sõnastus:</w:t>
      </w:r>
    </w:p>
    <w:p w14:paraId="7D007673" w14:textId="4EAE8F31" w:rsidR="00AD4122" w:rsidRPr="00AF43AE" w:rsidRDefault="00AD4122" w:rsidP="00AD4122">
      <w:pPr>
        <w:spacing w:line="259" w:lineRule="auto"/>
        <w:jc w:val="both"/>
      </w:pPr>
      <w:r w:rsidRPr="00AD4122">
        <w:rPr>
          <w:b/>
          <w:bCs/>
        </w:rPr>
        <w:t xml:space="preserve">Teenuse </w:t>
      </w:r>
      <w:r w:rsidRPr="00AD4122">
        <w:t xml:space="preserve">ja teenuses töödeldavate andmete turbeastme </w:t>
      </w:r>
      <w:r w:rsidRPr="00AD4122">
        <w:rPr>
          <w:b/>
          <w:bCs/>
        </w:rPr>
        <w:t>ja turvaklassi</w:t>
      </w:r>
      <w:r w:rsidRPr="00AD4122">
        <w:t xml:space="preserve"> määrab klienti esindav peakasutaja, kes peab eelnevalt hindama andmete tähtsust ning andmete turvalisuse puudumisest tulenevaid kahjusid.</w:t>
      </w:r>
    </w:p>
    <w:p w14:paraId="7F247A8C" w14:textId="3CC7DF75" w:rsidR="001B6473" w:rsidRPr="001B6473" w:rsidRDefault="001B6473" w:rsidP="001B6473">
      <w:pPr>
        <w:rPr>
          <w:b/>
          <w:bCs/>
        </w:rPr>
      </w:pPr>
      <w:r>
        <w:t>12.10.</w:t>
      </w:r>
      <w:r>
        <w:tab/>
      </w:r>
      <w:r w:rsidRPr="001B6473">
        <w:t>Punkti täpsustatud</w:t>
      </w:r>
      <w:r w:rsidR="00AD5A01">
        <w:t>:</w:t>
      </w:r>
    </w:p>
    <w:p w14:paraId="02E34F56" w14:textId="1CB513E6" w:rsidR="001B6473" w:rsidRDefault="001B6473" w:rsidP="001B6473">
      <w:r w:rsidRPr="001B6473">
        <w:rPr>
          <w:b/>
          <w:bCs/>
        </w:rPr>
        <w:t>Tehisintellekti</w:t>
      </w:r>
      <w:r>
        <w:t xml:space="preserve"> teenuse ja pilveteenuste </w:t>
      </w:r>
      <w:r w:rsidRPr="001B6473">
        <w:rPr>
          <w:b/>
          <w:bCs/>
        </w:rPr>
        <w:t>turvalise</w:t>
      </w:r>
      <w:r>
        <w:t xml:space="preserve"> omandamise, kasutamise, haldamise ja neist väljumise protsessid peavad vastama infoturbeosakonna kehtestatud nõuetele ning kehtivatele kordadele ja õigusnormidele. Võrgu- ja infosüsteemi turvameetmete nõudeid ja nende kohaldamise ulatust pilveteenuse kasutamisel reguleerib Vabariigi Valitsuse 03.01.2024 määrus nr 1 (https://www.riigiteataja.ee/akt/109012024025). </w:t>
      </w:r>
    </w:p>
    <w:p w14:paraId="6AC161AC" w14:textId="482F4FFD" w:rsidR="001B6473" w:rsidRDefault="001B6473" w:rsidP="001B6473">
      <w:r>
        <w:t>12.11.</w:t>
      </w:r>
      <w:r>
        <w:tab/>
      </w:r>
      <w:r w:rsidRPr="001B6473">
        <w:rPr>
          <w:b/>
          <w:bCs/>
        </w:rPr>
        <w:t>SMITi poolt reguleerimata</w:t>
      </w:r>
      <w:r>
        <w:t xml:space="preserve"> pilveteenuste kaudu saadetava asutuse-siseseks kasutamiseks liigitatud teabe peab töötaja krüpteerima või muul viisil volitamata töötlemise eest kaitsma.</w:t>
      </w:r>
    </w:p>
    <w:p w14:paraId="242C4649" w14:textId="5A1C7A32" w:rsidR="001B6473" w:rsidRDefault="001B6473" w:rsidP="001B6473">
      <w:r>
        <w:t>Lisatud viited p</w:t>
      </w:r>
      <w:r w:rsidRPr="001B6473">
        <w:t>ilv</w:t>
      </w:r>
      <w:r w:rsidR="00AD5A01">
        <w:t>e</w:t>
      </w:r>
      <w:r w:rsidRPr="001B6473">
        <w:t xml:space="preserve">teenuste turvalise kasutuselevõtmise </w:t>
      </w:r>
      <w:r>
        <w:t>juhendile ja t</w:t>
      </w:r>
      <w:r w:rsidRPr="001B6473">
        <w:t>ehisintellekti turvalise kasutuselevõtmise juhend</w:t>
      </w:r>
      <w:r>
        <w:t>ile.</w:t>
      </w:r>
    </w:p>
    <w:p w14:paraId="62F7872F" w14:textId="55229409" w:rsidR="001B209B" w:rsidRDefault="001B209B" w:rsidP="001B6473">
      <w:r>
        <w:t>13.3 Lisatud võimalus viidete tegemiseks</w:t>
      </w:r>
      <w:r w:rsidR="00EC7A17">
        <w:t xml:space="preserve"> hanke alusdokumentidesse</w:t>
      </w:r>
      <w:r>
        <w:t>.</w:t>
      </w:r>
    </w:p>
    <w:p w14:paraId="09AE73DD" w14:textId="1407D60F" w:rsidR="001B209B" w:rsidRDefault="001B209B" w:rsidP="001B6473">
      <w:r w:rsidRPr="001B209B">
        <w:t>Välisele partnerile kehtivad korrad ja nõuded lisatakse hanke alusdokumentidesse</w:t>
      </w:r>
      <w:r w:rsidRPr="001B209B">
        <w:rPr>
          <w:b/>
          <w:bCs/>
        </w:rPr>
        <w:t xml:space="preserve"> või </w:t>
      </w:r>
      <w:r w:rsidR="00EC7A17">
        <w:rPr>
          <w:b/>
          <w:bCs/>
        </w:rPr>
        <w:t>viidatakse</w:t>
      </w:r>
      <w:r w:rsidRPr="001B209B">
        <w:rPr>
          <w:b/>
          <w:bCs/>
        </w:rPr>
        <w:t xml:space="preserve"> ne</w:t>
      </w:r>
      <w:r w:rsidR="00EC7A17">
        <w:rPr>
          <w:b/>
          <w:bCs/>
        </w:rPr>
        <w:t>i</w:t>
      </w:r>
      <w:r w:rsidRPr="001B209B">
        <w:rPr>
          <w:b/>
          <w:bCs/>
        </w:rPr>
        <w:t>le hanke alusdokumentides.</w:t>
      </w:r>
    </w:p>
    <w:p w14:paraId="0FF1CD13" w14:textId="2FD496EB" w:rsidR="00791A34" w:rsidRDefault="00791A34" w:rsidP="001B6473">
      <w:r>
        <w:t>13.7 Punkt viidud kooskõlla punktiga 3.12. Täpsustatud, et partner peab teavitama oma lepingu kontaktisikut, mitte osakonna juhti.</w:t>
      </w:r>
    </w:p>
    <w:p w14:paraId="623E6094" w14:textId="77777777" w:rsidR="00791A34" w:rsidRDefault="00791A34" w:rsidP="001B6473">
      <w:r>
        <w:t>Varasem sõnastus:</w:t>
      </w:r>
    </w:p>
    <w:p w14:paraId="0DC041AB" w14:textId="35A6FCD6" w:rsidR="00791A34" w:rsidRDefault="00791A34" w:rsidP="001B6473">
      <w:r w:rsidRPr="00FB2D29">
        <w:lastRenderedPageBreak/>
        <w:t>Väline partner on kohustatud teavitama struktuuriüksuse või osakonna juhti, kelle vastutusalas toimub välise partneri tegevus, avastatud turvanõrkusest, potentsiaalsest turbesündmusest või muust turbeohust.</w:t>
      </w:r>
    </w:p>
    <w:p w14:paraId="79E3756D" w14:textId="2DEBCD41" w:rsidR="00791A34" w:rsidRDefault="00791A34" w:rsidP="001B6473">
      <w:r>
        <w:t>Uus sõnastus:</w:t>
      </w:r>
    </w:p>
    <w:p w14:paraId="44BFD9B5" w14:textId="77777777" w:rsidR="00791A34" w:rsidRPr="00791A34" w:rsidRDefault="00791A34" w:rsidP="00791A34">
      <w:pPr>
        <w:rPr>
          <w:b/>
          <w:bCs/>
        </w:rPr>
      </w:pPr>
      <w:r w:rsidRPr="00A33E9D">
        <w:t xml:space="preserve">Väline partner on kohustatud teavitama </w:t>
      </w:r>
      <w:r>
        <w:t xml:space="preserve">oma </w:t>
      </w:r>
      <w:r w:rsidRPr="00791A34">
        <w:rPr>
          <w:b/>
          <w:bCs/>
        </w:rPr>
        <w:t>lepingu kontaktisikut</w:t>
      </w:r>
      <w:r w:rsidRPr="00A33E9D">
        <w:t xml:space="preserve"> avastatud </w:t>
      </w:r>
      <w:r w:rsidRPr="00791A34">
        <w:rPr>
          <w:b/>
          <w:bCs/>
        </w:rPr>
        <w:t>turvanõrkustest, andmeleketest, rünnetest ja muudest ohtudest, juhtumitest ja intsidentidest</w:t>
      </w:r>
    </w:p>
    <w:p w14:paraId="01BEFF4C" w14:textId="77777777" w:rsidR="00EC7A17" w:rsidRDefault="00EC7A17" w:rsidP="00EC7A17">
      <w:r w:rsidRPr="007C3CD8">
        <w:t>15.2.4.</w:t>
      </w:r>
      <w:r>
        <w:t xml:space="preserve"> Punkti täpsustatud:</w:t>
      </w:r>
    </w:p>
    <w:p w14:paraId="65899B3A" w14:textId="77777777" w:rsidR="00EC7A17" w:rsidRDefault="00EC7A17" w:rsidP="00EC7A17">
      <w:r>
        <w:t xml:space="preserve">Varasem sõnastus: </w:t>
      </w:r>
    </w:p>
    <w:p w14:paraId="1F878246" w14:textId="1D9E860E" w:rsidR="00EC7A17" w:rsidRDefault="00EC7A17" w:rsidP="00EC7A17">
      <w:r w:rsidRPr="007C3CD8">
        <w:t>isikuandmed ja muud andmed, mille avalikustamine rikub privaatsust või seadust;</w:t>
      </w:r>
    </w:p>
    <w:p w14:paraId="1F9E7045" w14:textId="77777777" w:rsidR="00EC7A17" w:rsidRDefault="00EC7A17" w:rsidP="00EC7A17">
      <w:r>
        <w:t xml:space="preserve">Uus sõnastus: </w:t>
      </w:r>
    </w:p>
    <w:p w14:paraId="2C9D6A02" w14:textId="6B14FF99" w:rsidR="00EC7A17" w:rsidRPr="00EC7A17" w:rsidRDefault="00EC7A17" w:rsidP="00EC7A17">
      <w:pPr>
        <w:rPr>
          <w:b/>
          <w:bCs/>
        </w:rPr>
      </w:pPr>
      <w:r w:rsidRPr="007C3CD8">
        <w:t xml:space="preserve">isikuandmed ja muud andmed, mille avalikustamine rikub </w:t>
      </w:r>
      <w:r w:rsidRPr="00EC7A17">
        <w:rPr>
          <w:b/>
          <w:bCs/>
        </w:rPr>
        <w:t>isikute eraelu puutumatust;</w:t>
      </w:r>
    </w:p>
    <w:p w14:paraId="6D38FC17" w14:textId="70D45A71" w:rsidR="00EC7A17" w:rsidRDefault="00EC7A17" w:rsidP="00EC7A17">
      <w:r w:rsidRPr="007C3CD8">
        <w:t>15.2.6.</w:t>
      </w:r>
      <w:r w:rsidRPr="007C3CD8">
        <w:tab/>
      </w:r>
      <w:r>
        <w:t>Punkti lisatud lisaks füüsilistele turvameetmetele ka organisatoorsed ja infotehnoloogilised:</w:t>
      </w:r>
    </w:p>
    <w:p w14:paraId="01ADC3A1" w14:textId="77777777" w:rsidR="00EC7A17" w:rsidRDefault="00EC7A17" w:rsidP="00EC7A17">
      <w:r>
        <w:t xml:space="preserve">Varasem sõnastus: </w:t>
      </w:r>
    </w:p>
    <w:p w14:paraId="61940CA8" w14:textId="2A0C785A" w:rsidR="00EC7A17" w:rsidRDefault="00EC7A17" w:rsidP="00EC7A17">
      <w:r>
        <w:t>Füüsilised turvameetmed</w:t>
      </w:r>
    </w:p>
    <w:p w14:paraId="209E01E1" w14:textId="77777777" w:rsidR="00EC7A17" w:rsidRDefault="00EC7A17" w:rsidP="00EC7A17">
      <w:r>
        <w:t xml:space="preserve">Uus sõnastus: </w:t>
      </w:r>
    </w:p>
    <w:p w14:paraId="2DF89982" w14:textId="06B1C757" w:rsidR="00EC7A17" w:rsidRDefault="00EC7A17" w:rsidP="00EC7A17">
      <w:r w:rsidRPr="007C3CD8">
        <w:t>turvameetmed (nii organisatoorsed, füüsilised kui ka infotehnoloogilised);</w:t>
      </w:r>
    </w:p>
    <w:p w14:paraId="608E0E1A" w14:textId="77777777" w:rsidR="00791A34" w:rsidRDefault="00791A34" w:rsidP="001B6473"/>
    <w:p w14:paraId="4D7E9DC5" w14:textId="1188AF7A" w:rsidR="001B6473" w:rsidRDefault="001B6473">
      <w:r>
        <w:t>Lisaks on tehtud väiksemaid keelelisi parandusi ja täiendusi.</w:t>
      </w:r>
    </w:p>
    <w:p w14:paraId="31939F38" w14:textId="4D77F6AD" w:rsidR="001B6473" w:rsidRDefault="001B6473">
      <w:r>
        <w:t xml:space="preserve">PS. Kõigi infoturbekorras viidatud dokumentide lingid on leitavad siit: </w:t>
      </w:r>
      <w:hyperlink r:id="rId5" w:history="1">
        <w:r w:rsidRPr="000C42BC">
          <w:rPr>
            <w:rStyle w:val="Hyperlink"/>
          </w:rPr>
          <w:t>https://wiki.smit.sise/spaces/SEC/pages/225586936/SMITi+infoturvet+reguleerivad+korrad</w:t>
        </w:r>
      </w:hyperlink>
    </w:p>
    <w:sectPr w:rsidR="001B6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B14B0"/>
    <w:multiLevelType w:val="multilevel"/>
    <w:tmpl w:val="B9FED060"/>
    <w:lvl w:ilvl="0">
      <w:start w:val="1"/>
      <w:numFmt w:val="decimal"/>
      <w:pStyle w:val="Sub-heading"/>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388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73"/>
    <w:rsid w:val="001B209B"/>
    <w:rsid w:val="001B6473"/>
    <w:rsid w:val="004557EC"/>
    <w:rsid w:val="005D7D4C"/>
    <w:rsid w:val="00791A34"/>
    <w:rsid w:val="007948F9"/>
    <w:rsid w:val="008E0229"/>
    <w:rsid w:val="00922B6F"/>
    <w:rsid w:val="00A036A5"/>
    <w:rsid w:val="00AD4122"/>
    <w:rsid w:val="00AD5A01"/>
    <w:rsid w:val="00E725FE"/>
    <w:rsid w:val="00E97CD7"/>
    <w:rsid w:val="00EC7A17"/>
    <w:rsid w:val="00FF29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7724"/>
  <w15:chartTrackingRefBased/>
  <w15:docId w15:val="{F39EA5E8-9F49-46B9-B658-416361B5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73"/>
    <w:rPr>
      <w:rFonts w:eastAsiaTheme="majorEastAsia" w:cstheme="majorBidi"/>
      <w:color w:val="272727" w:themeColor="text1" w:themeTint="D8"/>
    </w:rPr>
  </w:style>
  <w:style w:type="paragraph" w:styleId="Title">
    <w:name w:val="Title"/>
    <w:basedOn w:val="Normal"/>
    <w:next w:val="Normal"/>
    <w:link w:val="TitleChar"/>
    <w:uiPriority w:val="10"/>
    <w:qFormat/>
    <w:rsid w:val="001B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73"/>
    <w:pPr>
      <w:spacing w:before="160"/>
      <w:jc w:val="center"/>
    </w:pPr>
    <w:rPr>
      <w:i/>
      <w:iCs/>
      <w:color w:val="404040" w:themeColor="text1" w:themeTint="BF"/>
    </w:rPr>
  </w:style>
  <w:style w:type="character" w:customStyle="1" w:styleId="QuoteChar">
    <w:name w:val="Quote Char"/>
    <w:basedOn w:val="DefaultParagraphFont"/>
    <w:link w:val="Quote"/>
    <w:uiPriority w:val="29"/>
    <w:rsid w:val="001B6473"/>
    <w:rPr>
      <w:i/>
      <w:iCs/>
      <w:color w:val="404040" w:themeColor="text1" w:themeTint="BF"/>
    </w:rPr>
  </w:style>
  <w:style w:type="paragraph" w:styleId="ListParagraph">
    <w:name w:val="List Paragraph"/>
    <w:basedOn w:val="Normal"/>
    <w:link w:val="ListParagraphChar"/>
    <w:uiPriority w:val="34"/>
    <w:qFormat/>
    <w:rsid w:val="001B6473"/>
    <w:pPr>
      <w:ind w:left="720"/>
      <w:contextualSpacing/>
    </w:pPr>
  </w:style>
  <w:style w:type="character" w:styleId="IntenseEmphasis">
    <w:name w:val="Intense Emphasis"/>
    <w:basedOn w:val="DefaultParagraphFont"/>
    <w:uiPriority w:val="21"/>
    <w:qFormat/>
    <w:rsid w:val="001B6473"/>
    <w:rPr>
      <w:i/>
      <w:iCs/>
      <w:color w:val="0F4761" w:themeColor="accent1" w:themeShade="BF"/>
    </w:rPr>
  </w:style>
  <w:style w:type="paragraph" w:styleId="IntenseQuote">
    <w:name w:val="Intense Quote"/>
    <w:basedOn w:val="Normal"/>
    <w:next w:val="Normal"/>
    <w:link w:val="IntenseQuoteChar"/>
    <w:uiPriority w:val="30"/>
    <w:qFormat/>
    <w:rsid w:val="001B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73"/>
    <w:rPr>
      <w:i/>
      <w:iCs/>
      <w:color w:val="0F4761" w:themeColor="accent1" w:themeShade="BF"/>
    </w:rPr>
  </w:style>
  <w:style w:type="character" w:styleId="IntenseReference">
    <w:name w:val="Intense Reference"/>
    <w:basedOn w:val="DefaultParagraphFont"/>
    <w:uiPriority w:val="32"/>
    <w:qFormat/>
    <w:rsid w:val="001B6473"/>
    <w:rPr>
      <w:b/>
      <w:bCs/>
      <w:smallCaps/>
      <w:color w:val="0F4761" w:themeColor="accent1" w:themeShade="BF"/>
      <w:spacing w:val="5"/>
    </w:rPr>
  </w:style>
  <w:style w:type="character" w:styleId="Hyperlink">
    <w:name w:val="Hyperlink"/>
    <w:basedOn w:val="DefaultParagraphFont"/>
    <w:uiPriority w:val="99"/>
    <w:unhideWhenUsed/>
    <w:rsid w:val="001B6473"/>
    <w:rPr>
      <w:color w:val="467886" w:themeColor="hyperlink"/>
      <w:u w:val="single"/>
    </w:rPr>
  </w:style>
  <w:style w:type="character" w:styleId="UnresolvedMention">
    <w:name w:val="Unresolved Mention"/>
    <w:basedOn w:val="DefaultParagraphFont"/>
    <w:uiPriority w:val="99"/>
    <w:semiHidden/>
    <w:unhideWhenUsed/>
    <w:rsid w:val="001B6473"/>
    <w:rPr>
      <w:color w:val="605E5C"/>
      <w:shd w:val="clear" w:color="auto" w:fill="E1DFDD"/>
    </w:rPr>
  </w:style>
  <w:style w:type="paragraph" w:customStyle="1" w:styleId="Sub-heading">
    <w:name w:val="Sub-heading"/>
    <w:basedOn w:val="ListParagraph"/>
    <w:qFormat/>
    <w:rsid w:val="00AD4122"/>
    <w:pPr>
      <w:numPr>
        <w:numId w:val="1"/>
      </w:numPr>
      <w:tabs>
        <w:tab w:val="num" w:pos="360"/>
      </w:tabs>
      <w:spacing w:line="259" w:lineRule="auto"/>
      <w:ind w:left="720" w:firstLine="0"/>
    </w:pPr>
    <w:rPr>
      <w:b/>
      <w:bCs/>
      <w:kern w:val="0"/>
      <w:sz w:val="22"/>
      <w:szCs w:val="22"/>
      <w14:ligatures w14:val="none"/>
    </w:rPr>
  </w:style>
  <w:style w:type="character" w:customStyle="1" w:styleId="ListParagraphChar">
    <w:name w:val="List Paragraph Char"/>
    <w:basedOn w:val="DefaultParagraphFont"/>
    <w:link w:val="ListParagraph"/>
    <w:uiPriority w:val="34"/>
    <w:rsid w:val="00AD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ki.smit.sise/spaces/SEC/pages/225586936/SMITi+infoturvet+reguleerivad+korr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757</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Intal</dc:creator>
  <cp:keywords/>
  <dc:description/>
  <cp:lastModifiedBy>Tiina Intal</cp:lastModifiedBy>
  <cp:revision>7</cp:revision>
  <dcterms:created xsi:type="dcterms:W3CDTF">2026-04-07T09:05:00Z</dcterms:created>
  <dcterms:modified xsi:type="dcterms:W3CDTF">2026-05-26T07:00:00Z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2026-04-07T09:25:53Z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b4effc25-17a0-4548-93c6-27c184807c58</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